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16C18" w14:textId="7102C7B0" w:rsidR="00F81329" w:rsidRPr="00BA031F" w:rsidRDefault="00F81329" w:rsidP="00BA031F">
      <w:pPr>
        <w:spacing w:after="0"/>
        <w:jc w:val="center"/>
        <w:rPr>
          <w:b/>
          <w:bCs/>
          <w:sz w:val="28"/>
          <w:szCs w:val="28"/>
          <w:lang w:val="ru-RU"/>
        </w:rPr>
      </w:pPr>
      <w:r w:rsidRPr="00F81329">
        <w:rPr>
          <w:b/>
          <w:bCs/>
          <w:sz w:val="28"/>
          <w:szCs w:val="28"/>
        </w:rPr>
        <w:t>HODNOTENIE SPOKOJNOSTI ŽIAKOV</w:t>
      </w:r>
    </w:p>
    <w:p w14:paraId="33B45EDE" w14:textId="77777777" w:rsidR="00BA031F" w:rsidRPr="00F81329" w:rsidRDefault="00BA031F" w:rsidP="00F81329">
      <w:pPr>
        <w:spacing w:after="0"/>
        <w:rPr>
          <w:lang w:val="ru-RU"/>
        </w:rPr>
      </w:pPr>
    </w:p>
    <w:p w14:paraId="7DFCC5DB" w14:textId="77777777" w:rsidR="00F81329" w:rsidRPr="00F81329" w:rsidRDefault="00F81329" w:rsidP="00F81329">
      <w:pPr>
        <w:spacing w:after="0"/>
      </w:pPr>
      <w:proofErr w:type="spellStart"/>
      <w:r w:rsidRPr="00F81329">
        <w:rPr>
          <w:b/>
          <w:bCs/>
        </w:rPr>
        <w:t>Súbory</w:t>
      </w:r>
      <w:proofErr w:type="spellEnd"/>
      <w:r w:rsidRPr="00F81329">
        <w:rPr>
          <w:b/>
          <w:bCs/>
        </w:rPr>
        <w:t xml:space="preserve"> na </w:t>
      </w:r>
      <w:proofErr w:type="spellStart"/>
      <w:r w:rsidRPr="00F81329">
        <w:rPr>
          <w:b/>
          <w:bCs/>
        </w:rPr>
        <w:t>stiahnutie</w:t>
      </w:r>
      <w:proofErr w:type="spellEnd"/>
    </w:p>
    <w:p w14:paraId="653F6D66" w14:textId="77777777" w:rsidR="00F81329" w:rsidRPr="00F81329" w:rsidRDefault="00F81329" w:rsidP="00F81329">
      <w:pPr>
        <w:numPr>
          <w:ilvl w:val="0"/>
          <w:numId w:val="20"/>
        </w:numPr>
        <w:spacing w:after="0"/>
      </w:pPr>
      <w:proofErr w:type="spellStart"/>
      <w:r w:rsidRPr="00F81329">
        <w:t>Dotazník</w:t>
      </w:r>
      <w:proofErr w:type="spellEnd"/>
      <w:r w:rsidRPr="00F81329">
        <w:t xml:space="preserve"> </w:t>
      </w:r>
      <w:proofErr w:type="spellStart"/>
      <w:r w:rsidRPr="00F81329">
        <w:t>pre</w:t>
      </w:r>
      <w:proofErr w:type="spellEnd"/>
      <w:r w:rsidRPr="00F81329">
        <w:t xml:space="preserve"> </w:t>
      </w:r>
      <w:proofErr w:type="spellStart"/>
      <w:r w:rsidRPr="00F81329">
        <w:t>žiakov</w:t>
      </w:r>
      <w:proofErr w:type="spellEnd"/>
      <w:r w:rsidRPr="00F81329">
        <w:t xml:space="preserve"> – Spokojnosť-1 (SK).pdf</w:t>
      </w:r>
    </w:p>
    <w:p w14:paraId="4D54D239" w14:textId="77777777" w:rsidR="00F81329" w:rsidRPr="00F81329" w:rsidRDefault="00F81329" w:rsidP="00F81329">
      <w:pPr>
        <w:numPr>
          <w:ilvl w:val="0"/>
          <w:numId w:val="20"/>
        </w:numPr>
        <w:spacing w:after="0"/>
      </w:pPr>
      <w:proofErr w:type="spellStart"/>
      <w:r w:rsidRPr="00F81329">
        <w:t>Dotazník</w:t>
      </w:r>
      <w:proofErr w:type="spellEnd"/>
      <w:r w:rsidRPr="00F81329">
        <w:t xml:space="preserve"> </w:t>
      </w:r>
      <w:proofErr w:type="spellStart"/>
      <w:r w:rsidRPr="00F81329">
        <w:t>pre</w:t>
      </w:r>
      <w:proofErr w:type="spellEnd"/>
      <w:r w:rsidRPr="00F81329">
        <w:t xml:space="preserve"> </w:t>
      </w:r>
      <w:proofErr w:type="spellStart"/>
      <w:r w:rsidRPr="00F81329">
        <w:t>žiakov</w:t>
      </w:r>
      <w:proofErr w:type="spellEnd"/>
      <w:r w:rsidRPr="00F81329">
        <w:t xml:space="preserve"> – Spokojnosť-2 (SK).pdf</w:t>
      </w:r>
    </w:p>
    <w:p w14:paraId="4A11AB53" w14:textId="77777777" w:rsidR="00F81329" w:rsidRPr="00F81329" w:rsidRDefault="00F81329" w:rsidP="00F81329">
      <w:pPr>
        <w:numPr>
          <w:ilvl w:val="0"/>
          <w:numId w:val="20"/>
        </w:numPr>
        <w:spacing w:after="0"/>
      </w:pPr>
      <w:proofErr w:type="spellStart"/>
      <w:r w:rsidRPr="00F81329">
        <w:t>Výsledkový</w:t>
      </w:r>
      <w:proofErr w:type="spellEnd"/>
      <w:r w:rsidRPr="00F81329">
        <w:t xml:space="preserve"> </w:t>
      </w:r>
      <w:proofErr w:type="spellStart"/>
      <w:r w:rsidRPr="00F81329">
        <w:t>hárok</w:t>
      </w:r>
      <w:proofErr w:type="spellEnd"/>
      <w:r w:rsidRPr="00F81329">
        <w:t xml:space="preserve"> – </w:t>
      </w:r>
      <w:proofErr w:type="spellStart"/>
      <w:r w:rsidRPr="00F81329">
        <w:t>Hodnotenie</w:t>
      </w:r>
      <w:proofErr w:type="spellEnd"/>
      <w:r w:rsidRPr="00F81329">
        <w:t xml:space="preserve"> </w:t>
      </w:r>
      <w:proofErr w:type="spellStart"/>
      <w:r w:rsidRPr="00F81329">
        <w:t>spokojnosti</w:t>
      </w:r>
      <w:proofErr w:type="spellEnd"/>
      <w:r w:rsidRPr="00F81329">
        <w:t xml:space="preserve"> (SK).xlsx</w:t>
      </w:r>
    </w:p>
    <w:p w14:paraId="22E66818" w14:textId="77777777" w:rsidR="00F81329" w:rsidRPr="00F81329" w:rsidRDefault="00F81329" w:rsidP="00BA031F">
      <w:pPr>
        <w:spacing w:before="120" w:after="0"/>
        <w:rPr>
          <w:b/>
          <w:bCs/>
        </w:rPr>
      </w:pPr>
      <w:r w:rsidRPr="00F81329">
        <w:rPr>
          <w:b/>
          <w:bCs/>
        </w:rPr>
        <w:t xml:space="preserve">1) </w:t>
      </w:r>
      <w:proofErr w:type="spellStart"/>
      <w:r w:rsidRPr="00F81329">
        <w:rPr>
          <w:b/>
          <w:bCs/>
        </w:rPr>
        <w:t>Príprava</w:t>
      </w:r>
      <w:proofErr w:type="spellEnd"/>
    </w:p>
    <w:p w14:paraId="7C342B7E" w14:textId="77777777" w:rsidR="00F81329" w:rsidRPr="00F81329" w:rsidRDefault="00F81329" w:rsidP="00F81329">
      <w:pPr>
        <w:numPr>
          <w:ilvl w:val="0"/>
          <w:numId w:val="21"/>
        </w:numPr>
        <w:spacing w:after="0"/>
      </w:pPr>
      <w:proofErr w:type="spellStart"/>
      <w:r w:rsidRPr="00F81329">
        <w:t>Prispôsobte</w:t>
      </w:r>
      <w:proofErr w:type="spellEnd"/>
      <w:r w:rsidRPr="00F81329">
        <w:t xml:space="preserve"> </w:t>
      </w:r>
      <w:proofErr w:type="spellStart"/>
      <w:r w:rsidRPr="00F81329">
        <w:t>dotazníky</w:t>
      </w:r>
      <w:proofErr w:type="spellEnd"/>
      <w:r w:rsidRPr="00F81329">
        <w:t xml:space="preserve"> </w:t>
      </w:r>
      <w:proofErr w:type="spellStart"/>
      <w:r w:rsidRPr="00F81329">
        <w:t>potrebám</w:t>
      </w:r>
      <w:proofErr w:type="spellEnd"/>
      <w:r w:rsidRPr="00F81329">
        <w:t xml:space="preserve"> </w:t>
      </w:r>
      <w:proofErr w:type="spellStart"/>
      <w:r w:rsidRPr="00F81329">
        <w:t>triedy</w:t>
      </w:r>
      <w:proofErr w:type="spellEnd"/>
      <w:r w:rsidRPr="00F81329">
        <w:t>.</w:t>
      </w:r>
    </w:p>
    <w:p w14:paraId="78758B9D" w14:textId="77777777" w:rsidR="00F81329" w:rsidRPr="00F81329" w:rsidRDefault="00F81329" w:rsidP="00F81329">
      <w:pPr>
        <w:numPr>
          <w:ilvl w:val="0"/>
          <w:numId w:val="21"/>
        </w:numPr>
        <w:spacing w:after="0"/>
      </w:pPr>
      <w:proofErr w:type="spellStart"/>
      <w:r w:rsidRPr="00F81329">
        <w:t>Určte</w:t>
      </w:r>
      <w:proofErr w:type="spellEnd"/>
      <w:r w:rsidRPr="00F81329">
        <w:t xml:space="preserve"> </w:t>
      </w:r>
      <w:proofErr w:type="spellStart"/>
      <w:r w:rsidRPr="00F81329">
        <w:t>dva</w:t>
      </w:r>
      <w:proofErr w:type="spellEnd"/>
      <w:r w:rsidRPr="00F81329">
        <w:t xml:space="preserve"> </w:t>
      </w:r>
      <w:proofErr w:type="spellStart"/>
      <w:r w:rsidRPr="00F81329">
        <w:t>termíny</w:t>
      </w:r>
      <w:proofErr w:type="spellEnd"/>
      <w:r w:rsidRPr="00F81329">
        <w:t xml:space="preserve">: </w:t>
      </w:r>
      <w:proofErr w:type="spellStart"/>
      <w:r w:rsidRPr="00F81329">
        <w:t>Začiatok</w:t>
      </w:r>
      <w:proofErr w:type="spellEnd"/>
      <w:r w:rsidRPr="00F81329">
        <w:t xml:space="preserve"> </w:t>
      </w:r>
      <w:proofErr w:type="spellStart"/>
      <w:r w:rsidRPr="00F81329">
        <w:t>merania</w:t>
      </w:r>
      <w:proofErr w:type="spellEnd"/>
      <w:r w:rsidRPr="00F81329">
        <w:t xml:space="preserve"> (</w:t>
      </w:r>
      <w:proofErr w:type="spellStart"/>
      <w:r w:rsidRPr="00F81329">
        <w:t>napr</w:t>
      </w:r>
      <w:proofErr w:type="spellEnd"/>
      <w:r w:rsidRPr="00F81329">
        <w:t xml:space="preserve">. </w:t>
      </w:r>
      <w:proofErr w:type="spellStart"/>
      <w:r w:rsidRPr="00F81329">
        <w:t>september</w:t>
      </w:r>
      <w:proofErr w:type="spellEnd"/>
      <w:r w:rsidRPr="00F81329">
        <w:t xml:space="preserve">) a Koniec </w:t>
      </w:r>
      <w:proofErr w:type="spellStart"/>
      <w:r w:rsidRPr="00F81329">
        <w:t>merania</w:t>
      </w:r>
      <w:proofErr w:type="spellEnd"/>
      <w:r w:rsidRPr="00F81329">
        <w:t xml:space="preserve"> (</w:t>
      </w:r>
      <w:proofErr w:type="spellStart"/>
      <w:r w:rsidRPr="00F81329">
        <w:t>napr</w:t>
      </w:r>
      <w:proofErr w:type="spellEnd"/>
      <w:r w:rsidRPr="00F81329">
        <w:t xml:space="preserve">. </w:t>
      </w:r>
      <w:proofErr w:type="spellStart"/>
      <w:r w:rsidRPr="00F81329">
        <w:t>jún</w:t>
      </w:r>
      <w:proofErr w:type="spellEnd"/>
      <w:r w:rsidRPr="00F81329">
        <w:t>).</w:t>
      </w:r>
    </w:p>
    <w:p w14:paraId="5079F634" w14:textId="77777777" w:rsidR="00F81329" w:rsidRPr="00F81329" w:rsidRDefault="00F81329" w:rsidP="00F81329">
      <w:pPr>
        <w:numPr>
          <w:ilvl w:val="0"/>
          <w:numId w:val="21"/>
        </w:numPr>
        <w:spacing w:after="0"/>
      </w:pPr>
      <w:proofErr w:type="spellStart"/>
      <w:r w:rsidRPr="00F81329">
        <w:t>Informujte</w:t>
      </w:r>
      <w:proofErr w:type="spellEnd"/>
      <w:r w:rsidRPr="00F81329">
        <w:t xml:space="preserve"> </w:t>
      </w:r>
      <w:proofErr w:type="spellStart"/>
      <w:r w:rsidRPr="00F81329">
        <w:t>žiakov</w:t>
      </w:r>
      <w:proofErr w:type="spellEnd"/>
      <w:r w:rsidRPr="00F81329">
        <w:t xml:space="preserve"> o </w:t>
      </w:r>
      <w:proofErr w:type="spellStart"/>
      <w:r w:rsidRPr="00F81329">
        <w:t>anonymite</w:t>
      </w:r>
      <w:proofErr w:type="spellEnd"/>
      <w:r w:rsidRPr="00F81329">
        <w:t xml:space="preserve"> a </w:t>
      </w:r>
      <w:proofErr w:type="spellStart"/>
      <w:r w:rsidRPr="00F81329">
        <w:t>vyzvite</w:t>
      </w:r>
      <w:proofErr w:type="spellEnd"/>
      <w:r w:rsidRPr="00F81329">
        <w:t xml:space="preserve"> ich k </w:t>
      </w:r>
      <w:proofErr w:type="spellStart"/>
      <w:r w:rsidRPr="00F81329">
        <w:t>úprimným</w:t>
      </w:r>
      <w:proofErr w:type="spellEnd"/>
      <w:r w:rsidRPr="00F81329">
        <w:t xml:space="preserve"> </w:t>
      </w:r>
      <w:proofErr w:type="spellStart"/>
      <w:r w:rsidRPr="00F81329">
        <w:t>odpovediam</w:t>
      </w:r>
      <w:proofErr w:type="spellEnd"/>
      <w:r w:rsidRPr="00F81329">
        <w:t>.</w:t>
      </w:r>
    </w:p>
    <w:p w14:paraId="71E6FF94" w14:textId="77777777" w:rsidR="00F81329" w:rsidRPr="00F81329" w:rsidRDefault="00F81329" w:rsidP="00F81329">
      <w:pPr>
        <w:numPr>
          <w:ilvl w:val="0"/>
          <w:numId w:val="21"/>
        </w:numPr>
        <w:spacing w:after="0"/>
      </w:pPr>
      <w:proofErr w:type="spellStart"/>
      <w:r w:rsidRPr="00F81329">
        <w:t>Škála</w:t>
      </w:r>
      <w:proofErr w:type="spellEnd"/>
      <w:r w:rsidRPr="00F81329">
        <w:t xml:space="preserve">: </w:t>
      </w:r>
      <w:proofErr w:type="spellStart"/>
      <w:r w:rsidRPr="00F81329">
        <w:t>Likert</w:t>
      </w:r>
      <w:proofErr w:type="spellEnd"/>
      <w:r w:rsidRPr="00F81329">
        <w:t xml:space="preserve"> 1–7.</w:t>
      </w:r>
    </w:p>
    <w:p w14:paraId="45E7D709" w14:textId="77777777" w:rsidR="00F81329" w:rsidRPr="00F81329" w:rsidRDefault="00F81329" w:rsidP="00BA031F">
      <w:pPr>
        <w:spacing w:before="120" w:after="0"/>
        <w:rPr>
          <w:b/>
          <w:bCs/>
        </w:rPr>
      </w:pPr>
      <w:r w:rsidRPr="00F81329">
        <w:rPr>
          <w:b/>
          <w:bCs/>
        </w:rPr>
        <w:t xml:space="preserve">2) </w:t>
      </w:r>
      <w:proofErr w:type="spellStart"/>
      <w:r w:rsidRPr="00F81329">
        <w:rPr>
          <w:b/>
          <w:bCs/>
        </w:rPr>
        <w:t>Úvodné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meranie</w:t>
      </w:r>
      <w:proofErr w:type="spellEnd"/>
      <w:r w:rsidRPr="00F81329">
        <w:rPr>
          <w:b/>
          <w:bCs/>
        </w:rPr>
        <w:t xml:space="preserve"> – krok 1 (</w:t>
      </w:r>
      <w:proofErr w:type="spellStart"/>
      <w:r w:rsidRPr="00F81329">
        <w:rPr>
          <w:b/>
          <w:bCs/>
        </w:rPr>
        <w:t>Hodnotenie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dôležitosti</w:t>
      </w:r>
      <w:proofErr w:type="spellEnd"/>
      <w:r w:rsidRPr="00F81329">
        <w:rPr>
          <w:b/>
          <w:bCs/>
        </w:rPr>
        <w:t>)</w:t>
      </w:r>
    </w:p>
    <w:p w14:paraId="6A31614A" w14:textId="77777777" w:rsidR="00F81329" w:rsidRPr="00F81329" w:rsidRDefault="00F81329" w:rsidP="00F81329">
      <w:pPr>
        <w:numPr>
          <w:ilvl w:val="0"/>
          <w:numId w:val="22"/>
        </w:numPr>
        <w:spacing w:after="0"/>
      </w:pPr>
      <w:proofErr w:type="spellStart"/>
      <w:r w:rsidRPr="00F81329">
        <w:t>Rozdajte</w:t>
      </w:r>
      <w:proofErr w:type="spellEnd"/>
      <w:r w:rsidRPr="00F81329">
        <w:t xml:space="preserve"> </w:t>
      </w:r>
      <w:r w:rsidRPr="00F81329">
        <w:rPr>
          <w:b/>
          <w:bCs/>
        </w:rPr>
        <w:t>Spokojnosť-1 (SK).pdf</w:t>
      </w:r>
      <w:r w:rsidRPr="00F81329">
        <w:t>.</w:t>
      </w:r>
    </w:p>
    <w:p w14:paraId="036E38BE" w14:textId="77777777" w:rsidR="00F81329" w:rsidRPr="00F81329" w:rsidRDefault="00F81329" w:rsidP="00F81329">
      <w:pPr>
        <w:numPr>
          <w:ilvl w:val="0"/>
          <w:numId w:val="22"/>
        </w:numPr>
        <w:spacing w:after="0"/>
      </w:pPr>
      <w:proofErr w:type="spellStart"/>
      <w:r w:rsidRPr="00F81329">
        <w:t>Zbierajte</w:t>
      </w:r>
      <w:proofErr w:type="spellEnd"/>
      <w:r w:rsidRPr="00F81329">
        <w:t xml:space="preserve"> </w:t>
      </w:r>
      <w:proofErr w:type="spellStart"/>
      <w:r w:rsidRPr="00F81329">
        <w:t>odpovede</w:t>
      </w:r>
      <w:proofErr w:type="spellEnd"/>
      <w:r w:rsidRPr="00F81329">
        <w:t>.</w:t>
      </w:r>
    </w:p>
    <w:p w14:paraId="368370DE" w14:textId="77777777" w:rsidR="00F81329" w:rsidRPr="00F81329" w:rsidRDefault="00F81329" w:rsidP="00BA031F">
      <w:pPr>
        <w:spacing w:before="120" w:after="0"/>
        <w:rPr>
          <w:b/>
          <w:bCs/>
        </w:rPr>
      </w:pPr>
      <w:r w:rsidRPr="00F81329">
        <w:rPr>
          <w:b/>
          <w:bCs/>
        </w:rPr>
        <w:t xml:space="preserve">3) </w:t>
      </w:r>
      <w:proofErr w:type="spellStart"/>
      <w:r w:rsidRPr="00F81329">
        <w:rPr>
          <w:b/>
          <w:bCs/>
        </w:rPr>
        <w:t>Úvodné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meranie</w:t>
      </w:r>
      <w:proofErr w:type="spellEnd"/>
      <w:r w:rsidRPr="00F81329">
        <w:rPr>
          <w:b/>
          <w:bCs/>
        </w:rPr>
        <w:t xml:space="preserve"> – krok 2 (</w:t>
      </w:r>
      <w:proofErr w:type="spellStart"/>
      <w:r w:rsidRPr="00F81329">
        <w:rPr>
          <w:b/>
          <w:bCs/>
        </w:rPr>
        <w:t>Hodnotenie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spokojnosti</w:t>
      </w:r>
      <w:proofErr w:type="spellEnd"/>
      <w:r w:rsidRPr="00F81329">
        <w:rPr>
          <w:b/>
          <w:bCs/>
        </w:rPr>
        <w:t>)</w:t>
      </w:r>
    </w:p>
    <w:p w14:paraId="6B8DD60E" w14:textId="77777777" w:rsidR="00F81329" w:rsidRPr="00F81329" w:rsidRDefault="00F81329" w:rsidP="00F81329">
      <w:pPr>
        <w:numPr>
          <w:ilvl w:val="0"/>
          <w:numId w:val="23"/>
        </w:numPr>
        <w:spacing w:after="0"/>
      </w:pPr>
      <w:r w:rsidRPr="00F81329">
        <w:t xml:space="preserve">Po 1–2 </w:t>
      </w:r>
      <w:proofErr w:type="spellStart"/>
      <w:r w:rsidRPr="00F81329">
        <w:t>týždňoch</w:t>
      </w:r>
      <w:proofErr w:type="spellEnd"/>
      <w:r w:rsidRPr="00F81329">
        <w:t xml:space="preserve"> </w:t>
      </w:r>
      <w:proofErr w:type="spellStart"/>
      <w:r w:rsidRPr="00F81329">
        <w:t>rozdajte</w:t>
      </w:r>
      <w:proofErr w:type="spellEnd"/>
      <w:r w:rsidRPr="00F81329">
        <w:t xml:space="preserve"> </w:t>
      </w:r>
      <w:r w:rsidRPr="00F81329">
        <w:rPr>
          <w:b/>
          <w:bCs/>
        </w:rPr>
        <w:t>Spokojnosť-2 (SK).pdf</w:t>
      </w:r>
      <w:r w:rsidRPr="00F81329">
        <w:t>.</w:t>
      </w:r>
    </w:p>
    <w:p w14:paraId="3B59B605" w14:textId="77777777" w:rsidR="00F81329" w:rsidRPr="00F81329" w:rsidRDefault="00F81329" w:rsidP="00F81329">
      <w:pPr>
        <w:numPr>
          <w:ilvl w:val="0"/>
          <w:numId w:val="23"/>
        </w:numPr>
        <w:spacing w:after="0"/>
      </w:pPr>
      <w:proofErr w:type="spellStart"/>
      <w:r w:rsidRPr="00F81329">
        <w:t>Zbierajte</w:t>
      </w:r>
      <w:proofErr w:type="spellEnd"/>
      <w:r w:rsidRPr="00F81329">
        <w:t xml:space="preserve"> </w:t>
      </w:r>
      <w:proofErr w:type="spellStart"/>
      <w:r w:rsidRPr="00F81329">
        <w:t>odpovede</w:t>
      </w:r>
      <w:proofErr w:type="spellEnd"/>
      <w:r w:rsidRPr="00F81329">
        <w:t>.</w:t>
      </w:r>
    </w:p>
    <w:p w14:paraId="7BA8BD0C" w14:textId="77777777" w:rsidR="00F81329" w:rsidRPr="00F81329" w:rsidRDefault="00F81329" w:rsidP="00BA031F">
      <w:pPr>
        <w:spacing w:before="120" w:after="0"/>
        <w:rPr>
          <w:b/>
          <w:bCs/>
        </w:rPr>
      </w:pPr>
      <w:r w:rsidRPr="00F81329">
        <w:rPr>
          <w:b/>
          <w:bCs/>
        </w:rPr>
        <w:t xml:space="preserve">4) </w:t>
      </w:r>
      <w:proofErr w:type="spellStart"/>
      <w:r w:rsidRPr="00F81329">
        <w:rPr>
          <w:b/>
          <w:bCs/>
        </w:rPr>
        <w:t>Zadávanie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údajov</w:t>
      </w:r>
      <w:proofErr w:type="spellEnd"/>
    </w:p>
    <w:p w14:paraId="13697065" w14:textId="77777777" w:rsidR="00F81329" w:rsidRPr="00F81329" w:rsidRDefault="00F81329" w:rsidP="00F81329">
      <w:pPr>
        <w:numPr>
          <w:ilvl w:val="0"/>
          <w:numId w:val="24"/>
        </w:numPr>
        <w:spacing w:after="0"/>
      </w:pPr>
      <w:proofErr w:type="spellStart"/>
      <w:r w:rsidRPr="00F81329">
        <w:t>Otvorte</w:t>
      </w:r>
      <w:proofErr w:type="spellEnd"/>
      <w:r w:rsidRPr="00F81329">
        <w:t xml:space="preserve"> </w:t>
      </w:r>
      <w:proofErr w:type="spellStart"/>
      <w:r w:rsidRPr="00F81329">
        <w:rPr>
          <w:b/>
          <w:bCs/>
        </w:rPr>
        <w:t>Hodnotenie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spokojnosti</w:t>
      </w:r>
      <w:proofErr w:type="spellEnd"/>
      <w:r w:rsidRPr="00F81329">
        <w:rPr>
          <w:b/>
          <w:bCs/>
        </w:rPr>
        <w:t xml:space="preserve"> (SK).</w:t>
      </w:r>
      <w:proofErr w:type="spellStart"/>
      <w:r w:rsidRPr="00F81329">
        <w:rPr>
          <w:b/>
          <w:bCs/>
        </w:rPr>
        <w:t>xlsx</w:t>
      </w:r>
      <w:proofErr w:type="spellEnd"/>
      <w:r w:rsidRPr="00F81329">
        <w:t>.</w:t>
      </w:r>
    </w:p>
    <w:p w14:paraId="4F09900F" w14:textId="77777777" w:rsidR="00F81329" w:rsidRPr="00F81329" w:rsidRDefault="00F81329" w:rsidP="00F81329">
      <w:pPr>
        <w:numPr>
          <w:ilvl w:val="0"/>
          <w:numId w:val="24"/>
        </w:numPr>
        <w:spacing w:after="0"/>
      </w:pPr>
      <w:proofErr w:type="spellStart"/>
      <w:r w:rsidRPr="00F81329">
        <w:t>Vpisujte</w:t>
      </w:r>
      <w:proofErr w:type="spellEnd"/>
      <w:r w:rsidRPr="00F81329">
        <w:t xml:space="preserve"> len do </w:t>
      </w:r>
      <w:proofErr w:type="spellStart"/>
      <w:r w:rsidRPr="00F81329">
        <w:t>žltých</w:t>
      </w:r>
      <w:proofErr w:type="spellEnd"/>
      <w:r w:rsidRPr="00F81329">
        <w:t xml:space="preserve"> </w:t>
      </w:r>
      <w:proofErr w:type="spellStart"/>
      <w:r w:rsidRPr="00F81329">
        <w:t>buniek</w:t>
      </w:r>
      <w:proofErr w:type="spellEnd"/>
      <w:r w:rsidRPr="00F81329">
        <w:t xml:space="preserve"> (1 </w:t>
      </w:r>
      <w:proofErr w:type="spellStart"/>
      <w:r w:rsidRPr="00F81329">
        <w:t>dotazník</w:t>
      </w:r>
      <w:proofErr w:type="spellEnd"/>
      <w:r w:rsidRPr="00F81329">
        <w:t xml:space="preserve"> = 1 </w:t>
      </w:r>
      <w:proofErr w:type="spellStart"/>
      <w:r w:rsidRPr="00F81329">
        <w:t>riadok</w:t>
      </w:r>
      <w:proofErr w:type="spellEnd"/>
      <w:r w:rsidRPr="00F81329">
        <w:t>).</w:t>
      </w:r>
    </w:p>
    <w:p w14:paraId="3CE86039" w14:textId="77777777" w:rsidR="00F81329" w:rsidRPr="00F81329" w:rsidRDefault="00F81329" w:rsidP="00F81329">
      <w:pPr>
        <w:numPr>
          <w:ilvl w:val="0"/>
          <w:numId w:val="24"/>
        </w:numPr>
        <w:spacing w:after="0"/>
      </w:pPr>
      <w:proofErr w:type="spellStart"/>
      <w:r w:rsidRPr="00F81329">
        <w:t>Hlavičky</w:t>
      </w:r>
      <w:proofErr w:type="spellEnd"/>
      <w:r w:rsidRPr="00F81329">
        <w:t xml:space="preserve"> </w:t>
      </w:r>
      <w:proofErr w:type="spellStart"/>
      <w:r w:rsidRPr="00F81329">
        <w:t>stĺpcov</w:t>
      </w:r>
      <w:proofErr w:type="spellEnd"/>
      <w:r w:rsidRPr="00F81329">
        <w:t xml:space="preserve"> </w:t>
      </w:r>
      <w:proofErr w:type="spellStart"/>
      <w:r w:rsidRPr="00F81329">
        <w:t>zodpovedajú</w:t>
      </w:r>
      <w:proofErr w:type="spellEnd"/>
      <w:r w:rsidRPr="00F81329">
        <w:t xml:space="preserve"> </w:t>
      </w:r>
      <w:proofErr w:type="spellStart"/>
      <w:r w:rsidRPr="00F81329">
        <w:t>otázkam</w:t>
      </w:r>
      <w:proofErr w:type="spellEnd"/>
      <w:r w:rsidRPr="00F81329">
        <w:t xml:space="preserve"> </w:t>
      </w:r>
      <w:proofErr w:type="spellStart"/>
      <w:r w:rsidRPr="00F81329">
        <w:t>dotazníka</w:t>
      </w:r>
      <w:proofErr w:type="spellEnd"/>
      <w:r w:rsidRPr="00F81329">
        <w:t>.</w:t>
      </w:r>
    </w:p>
    <w:p w14:paraId="39C03D34" w14:textId="77777777" w:rsidR="00F81329" w:rsidRPr="00F81329" w:rsidRDefault="00F81329" w:rsidP="00F81329">
      <w:pPr>
        <w:numPr>
          <w:ilvl w:val="0"/>
          <w:numId w:val="24"/>
        </w:numPr>
        <w:spacing w:after="0"/>
      </w:pPr>
      <w:proofErr w:type="spellStart"/>
      <w:r w:rsidRPr="00F81329">
        <w:t>Ak</w:t>
      </w:r>
      <w:proofErr w:type="spellEnd"/>
      <w:r w:rsidRPr="00F81329">
        <w:t xml:space="preserve"> </w:t>
      </w:r>
      <w:proofErr w:type="spellStart"/>
      <w:r w:rsidRPr="00F81329">
        <w:t>odpoveď</w:t>
      </w:r>
      <w:proofErr w:type="spellEnd"/>
      <w:r w:rsidRPr="00F81329">
        <w:t xml:space="preserve"> </w:t>
      </w:r>
      <w:proofErr w:type="spellStart"/>
      <w:r w:rsidRPr="00F81329">
        <w:t>chýba</w:t>
      </w:r>
      <w:proofErr w:type="spellEnd"/>
      <w:r w:rsidRPr="00F81329">
        <w:t xml:space="preserve"> → </w:t>
      </w:r>
      <w:proofErr w:type="spellStart"/>
      <w:r w:rsidRPr="00F81329">
        <w:t>nechajte</w:t>
      </w:r>
      <w:proofErr w:type="spellEnd"/>
      <w:r w:rsidRPr="00F81329">
        <w:t xml:space="preserve"> </w:t>
      </w:r>
      <w:proofErr w:type="spellStart"/>
      <w:r w:rsidRPr="00F81329">
        <w:t>bunku</w:t>
      </w:r>
      <w:proofErr w:type="spellEnd"/>
      <w:r w:rsidRPr="00F81329">
        <w:t xml:space="preserve"> </w:t>
      </w:r>
      <w:proofErr w:type="spellStart"/>
      <w:r w:rsidRPr="00F81329">
        <w:t>prázdnu</w:t>
      </w:r>
      <w:proofErr w:type="spellEnd"/>
      <w:r w:rsidRPr="00F81329">
        <w:t>.</w:t>
      </w:r>
    </w:p>
    <w:p w14:paraId="1EF8CD35" w14:textId="77777777" w:rsidR="00F81329" w:rsidRPr="00F81329" w:rsidRDefault="00F81329" w:rsidP="00F81329">
      <w:pPr>
        <w:numPr>
          <w:ilvl w:val="0"/>
          <w:numId w:val="24"/>
        </w:numPr>
        <w:spacing w:after="0"/>
      </w:pPr>
      <w:proofErr w:type="spellStart"/>
      <w:r w:rsidRPr="00F81329">
        <w:t>Výsledky</w:t>
      </w:r>
      <w:proofErr w:type="spellEnd"/>
      <w:r w:rsidRPr="00F81329">
        <w:t xml:space="preserve"> </w:t>
      </w:r>
      <w:proofErr w:type="spellStart"/>
      <w:r w:rsidRPr="00F81329">
        <w:t>sa</w:t>
      </w:r>
      <w:proofErr w:type="spellEnd"/>
      <w:r w:rsidRPr="00F81329">
        <w:t xml:space="preserve"> </w:t>
      </w:r>
      <w:proofErr w:type="spellStart"/>
      <w:r w:rsidRPr="00F81329">
        <w:t>počítajú</w:t>
      </w:r>
      <w:proofErr w:type="spellEnd"/>
      <w:r w:rsidRPr="00F81329">
        <w:t xml:space="preserve"> </w:t>
      </w:r>
      <w:proofErr w:type="spellStart"/>
      <w:r w:rsidRPr="00F81329">
        <w:t>automaticky</w:t>
      </w:r>
      <w:proofErr w:type="spellEnd"/>
      <w:r w:rsidRPr="00F81329">
        <w:t xml:space="preserve"> na </w:t>
      </w:r>
      <w:proofErr w:type="spellStart"/>
      <w:r w:rsidRPr="00F81329">
        <w:t>samostatných</w:t>
      </w:r>
      <w:proofErr w:type="spellEnd"/>
      <w:r w:rsidRPr="00F81329">
        <w:t xml:space="preserve"> </w:t>
      </w:r>
      <w:proofErr w:type="spellStart"/>
      <w:r w:rsidRPr="00F81329">
        <w:t>hárkoch</w:t>
      </w:r>
      <w:proofErr w:type="spellEnd"/>
      <w:r w:rsidRPr="00F81329">
        <w:t>.</w:t>
      </w:r>
    </w:p>
    <w:p w14:paraId="49E53183" w14:textId="77777777" w:rsidR="00F81329" w:rsidRPr="00F81329" w:rsidRDefault="00F81329" w:rsidP="00BA031F">
      <w:pPr>
        <w:spacing w:before="120" w:after="0"/>
        <w:rPr>
          <w:b/>
          <w:bCs/>
        </w:rPr>
      </w:pPr>
      <w:r w:rsidRPr="00F81329">
        <w:rPr>
          <w:b/>
          <w:bCs/>
        </w:rPr>
        <w:t xml:space="preserve">5) </w:t>
      </w:r>
      <w:proofErr w:type="spellStart"/>
      <w:r w:rsidRPr="00F81329">
        <w:rPr>
          <w:b/>
          <w:bCs/>
        </w:rPr>
        <w:t>Čítanie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výsledkov</w:t>
      </w:r>
      <w:proofErr w:type="spellEnd"/>
      <w:r w:rsidRPr="00F81329">
        <w:rPr>
          <w:b/>
          <w:bCs/>
        </w:rPr>
        <w:t xml:space="preserve"> (po </w:t>
      </w:r>
      <w:proofErr w:type="spellStart"/>
      <w:r w:rsidRPr="00F81329">
        <w:rPr>
          <w:b/>
          <w:bCs/>
        </w:rPr>
        <w:t>začiatku</w:t>
      </w:r>
      <w:proofErr w:type="spellEnd"/>
      <w:r w:rsidRPr="00F81329">
        <w:rPr>
          <w:b/>
          <w:bCs/>
        </w:rPr>
        <w:t>)</w:t>
      </w:r>
    </w:p>
    <w:p w14:paraId="78A93E76" w14:textId="77777777" w:rsidR="00F81329" w:rsidRPr="00F81329" w:rsidRDefault="00F81329" w:rsidP="00F81329">
      <w:pPr>
        <w:spacing w:after="0"/>
      </w:pPr>
      <w:proofErr w:type="spellStart"/>
      <w:r w:rsidRPr="00F81329">
        <w:t>Hárok</w:t>
      </w:r>
      <w:proofErr w:type="spellEnd"/>
      <w:r w:rsidRPr="00F81329">
        <w:t xml:space="preserve"> </w:t>
      </w:r>
      <w:proofErr w:type="spellStart"/>
      <w:r w:rsidRPr="00F81329">
        <w:t>počíta</w:t>
      </w:r>
      <w:proofErr w:type="spellEnd"/>
      <w:r w:rsidRPr="00F81329">
        <w:t xml:space="preserve"> </w:t>
      </w:r>
      <w:proofErr w:type="spellStart"/>
      <w:r w:rsidRPr="00F81329">
        <w:t>dva</w:t>
      </w:r>
      <w:proofErr w:type="spellEnd"/>
      <w:r w:rsidRPr="00F81329">
        <w:t xml:space="preserve"> </w:t>
      </w:r>
      <w:proofErr w:type="spellStart"/>
      <w:r w:rsidRPr="00F81329">
        <w:t>hlavné</w:t>
      </w:r>
      <w:proofErr w:type="spellEnd"/>
      <w:r w:rsidRPr="00F81329">
        <w:t xml:space="preserve"> </w:t>
      </w:r>
      <w:proofErr w:type="spellStart"/>
      <w:r w:rsidRPr="00F81329">
        <w:t>ukazovatele</w:t>
      </w:r>
      <w:proofErr w:type="spellEnd"/>
      <w:r w:rsidRPr="00F81329">
        <w:t>:</w:t>
      </w:r>
    </w:p>
    <w:p w14:paraId="0FCE26D6" w14:textId="77777777" w:rsidR="00F81329" w:rsidRPr="00F81329" w:rsidRDefault="00F81329" w:rsidP="00F81329">
      <w:pPr>
        <w:spacing w:after="0"/>
      </w:pPr>
      <w:r w:rsidRPr="00F81329">
        <w:rPr>
          <w:b/>
          <w:bCs/>
        </w:rPr>
        <w:t xml:space="preserve">a) SSI (Index </w:t>
      </w:r>
      <w:proofErr w:type="spellStart"/>
      <w:r w:rsidRPr="00F81329">
        <w:rPr>
          <w:b/>
          <w:bCs/>
        </w:rPr>
        <w:t>spokojnosti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žiakov</w:t>
      </w:r>
      <w:proofErr w:type="spellEnd"/>
      <w:r w:rsidRPr="00F81329">
        <w:rPr>
          <w:b/>
          <w:bCs/>
        </w:rPr>
        <w:t>)</w:t>
      </w:r>
    </w:p>
    <w:p w14:paraId="72B49DDB" w14:textId="77777777" w:rsidR="00F81329" w:rsidRPr="00F81329" w:rsidRDefault="00F81329" w:rsidP="00F81329">
      <w:pPr>
        <w:numPr>
          <w:ilvl w:val="0"/>
          <w:numId w:val="25"/>
        </w:numPr>
        <w:spacing w:after="0"/>
      </w:pPr>
      <w:proofErr w:type="spellStart"/>
      <w:r w:rsidRPr="00F81329">
        <w:t>Stupnica</w:t>
      </w:r>
      <w:proofErr w:type="spellEnd"/>
      <w:r w:rsidRPr="00F81329">
        <w:t xml:space="preserve"> 0–100%.</w:t>
      </w:r>
    </w:p>
    <w:p w14:paraId="1618CAA7" w14:textId="4F68BB6B" w:rsidR="00F81329" w:rsidRPr="00F81329" w:rsidRDefault="00F81329" w:rsidP="00F81329">
      <w:pPr>
        <w:numPr>
          <w:ilvl w:val="0"/>
          <w:numId w:val="25"/>
        </w:numPr>
        <w:spacing w:after="0"/>
      </w:pPr>
      <w:proofErr w:type="spellStart"/>
      <w:r w:rsidRPr="00F81329">
        <w:t>Interpretácia</w:t>
      </w:r>
      <w:proofErr w:type="spellEnd"/>
      <w:r w:rsidRPr="00F81329">
        <w:t>:</w:t>
      </w:r>
    </w:p>
    <w:p w14:paraId="50233851" w14:textId="77777777" w:rsidR="00F81329" w:rsidRPr="00F81329" w:rsidRDefault="00F81329" w:rsidP="00F81329">
      <w:pPr>
        <w:numPr>
          <w:ilvl w:val="1"/>
          <w:numId w:val="25"/>
        </w:numPr>
        <w:spacing w:after="0"/>
      </w:pPr>
      <w:r w:rsidRPr="00F81329">
        <w:t xml:space="preserve">81–100% → </w:t>
      </w:r>
      <w:proofErr w:type="spellStart"/>
      <w:r w:rsidRPr="00F81329">
        <w:t>veľmi</w:t>
      </w:r>
      <w:proofErr w:type="spellEnd"/>
      <w:r w:rsidRPr="00F81329">
        <w:t xml:space="preserve"> </w:t>
      </w:r>
      <w:proofErr w:type="spellStart"/>
      <w:r w:rsidRPr="00F81329">
        <w:t>spokojný</w:t>
      </w:r>
      <w:proofErr w:type="spellEnd"/>
    </w:p>
    <w:p w14:paraId="7234587C" w14:textId="77777777" w:rsidR="00F81329" w:rsidRPr="00F81329" w:rsidRDefault="00F81329" w:rsidP="00F81329">
      <w:pPr>
        <w:numPr>
          <w:ilvl w:val="1"/>
          <w:numId w:val="25"/>
        </w:numPr>
        <w:spacing w:after="0"/>
      </w:pPr>
      <w:r w:rsidRPr="00F81329">
        <w:t xml:space="preserve">66–80,99% → </w:t>
      </w:r>
      <w:proofErr w:type="spellStart"/>
      <w:r w:rsidRPr="00F81329">
        <w:t>spokojný</w:t>
      </w:r>
      <w:proofErr w:type="spellEnd"/>
    </w:p>
    <w:p w14:paraId="5D337DD0" w14:textId="77777777" w:rsidR="00F81329" w:rsidRPr="00F81329" w:rsidRDefault="00F81329" w:rsidP="00F81329">
      <w:pPr>
        <w:numPr>
          <w:ilvl w:val="1"/>
          <w:numId w:val="25"/>
        </w:numPr>
        <w:spacing w:after="0"/>
      </w:pPr>
      <w:r w:rsidRPr="00F81329">
        <w:t xml:space="preserve">51–65,99% → </w:t>
      </w:r>
      <w:proofErr w:type="spellStart"/>
      <w:r w:rsidRPr="00F81329">
        <w:t>skôr</w:t>
      </w:r>
      <w:proofErr w:type="spellEnd"/>
      <w:r w:rsidRPr="00F81329">
        <w:t xml:space="preserve"> </w:t>
      </w:r>
      <w:proofErr w:type="spellStart"/>
      <w:r w:rsidRPr="00F81329">
        <w:t>spokojný</w:t>
      </w:r>
      <w:proofErr w:type="spellEnd"/>
    </w:p>
    <w:p w14:paraId="1B6E7CA4" w14:textId="77777777" w:rsidR="00F81329" w:rsidRPr="00F81329" w:rsidRDefault="00F81329" w:rsidP="00F81329">
      <w:pPr>
        <w:numPr>
          <w:ilvl w:val="1"/>
          <w:numId w:val="25"/>
        </w:numPr>
        <w:spacing w:after="0"/>
      </w:pPr>
      <w:r w:rsidRPr="00F81329">
        <w:t xml:space="preserve">35–50,99% → </w:t>
      </w:r>
      <w:proofErr w:type="spellStart"/>
      <w:r w:rsidRPr="00F81329">
        <w:t>menej</w:t>
      </w:r>
      <w:proofErr w:type="spellEnd"/>
      <w:r w:rsidRPr="00F81329">
        <w:t xml:space="preserve"> </w:t>
      </w:r>
      <w:proofErr w:type="spellStart"/>
      <w:r w:rsidRPr="00F81329">
        <w:t>spokojný</w:t>
      </w:r>
      <w:proofErr w:type="spellEnd"/>
    </w:p>
    <w:p w14:paraId="78B05E84" w14:textId="77777777" w:rsidR="00F81329" w:rsidRPr="00F81329" w:rsidRDefault="00F81329" w:rsidP="00F81329">
      <w:pPr>
        <w:numPr>
          <w:ilvl w:val="1"/>
          <w:numId w:val="25"/>
        </w:numPr>
        <w:spacing w:after="0"/>
      </w:pPr>
      <w:r w:rsidRPr="00F81329">
        <w:t xml:space="preserve">0–34,99% → </w:t>
      </w:r>
      <w:proofErr w:type="spellStart"/>
      <w:r w:rsidRPr="00F81329">
        <w:t>nespokojný</w:t>
      </w:r>
      <w:proofErr w:type="spellEnd"/>
    </w:p>
    <w:p w14:paraId="2126DDF9" w14:textId="77777777" w:rsidR="00F81329" w:rsidRPr="00F81329" w:rsidRDefault="00F81329" w:rsidP="00F81329">
      <w:pPr>
        <w:spacing w:after="0"/>
      </w:pPr>
      <w:r w:rsidRPr="00F81329">
        <w:rPr>
          <w:b/>
          <w:bCs/>
        </w:rPr>
        <w:t xml:space="preserve">b) </w:t>
      </w:r>
      <w:proofErr w:type="spellStart"/>
      <w:r w:rsidRPr="00F81329">
        <w:rPr>
          <w:b/>
          <w:bCs/>
        </w:rPr>
        <w:t>Medzera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medzi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spokojnosťou</w:t>
      </w:r>
      <w:proofErr w:type="spellEnd"/>
      <w:r w:rsidRPr="00F81329">
        <w:rPr>
          <w:b/>
          <w:bCs/>
        </w:rPr>
        <w:t xml:space="preserve"> a </w:t>
      </w:r>
      <w:proofErr w:type="spellStart"/>
      <w:r w:rsidRPr="00F81329">
        <w:rPr>
          <w:b/>
          <w:bCs/>
        </w:rPr>
        <w:t>dôležitosťou</w:t>
      </w:r>
      <w:proofErr w:type="spellEnd"/>
      <w:r w:rsidRPr="00F81329">
        <w:rPr>
          <w:b/>
          <w:bCs/>
        </w:rPr>
        <w:t xml:space="preserve"> (POMP)</w:t>
      </w:r>
    </w:p>
    <w:p w14:paraId="6B1E6236" w14:textId="77777777" w:rsidR="00F81329" w:rsidRPr="00F81329" w:rsidRDefault="00F81329" w:rsidP="00F81329">
      <w:pPr>
        <w:numPr>
          <w:ilvl w:val="0"/>
          <w:numId w:val="26"/>
        </w:numPr>
        <w:spacing w:after="0"/>
      </w:pPr>
      <w:r w:rsidRPr="00F81329">
        <w:rPr>
          <w:b/>
          <w:bCs/>
        </w:rPr>
        <w:t>&lt; 0</w:t>
      </w:r>
      <w:r w:rsidRPr="00F81329">
        <w:t xml:space="preserve"> → </w:t>
      </w:r>
      <w:proofErr w:type="spellStart"/>
      <w:r w:rsidRPr="00F81329">
        <w:t>dôležitosť</w:t>
      </w:r>
      <w:proofErr w:type="spellEnd"/>
      <w:r w:rsidRPr="00F81329">
        <w:t xml:space="preserve"> </w:t>
      </w:r>
      <w:proofErr w:type="spellStart"/>
      <w:r w:rsidRPr="00F81329">
        <w:t>prevyšuje</w:t>
      </w:r>
      <w:proofErr w:type="spellEnd"/>
      <w:r w:rsidRPr="00F81329">
        <w:t xml:space="preserve"> </w:t>
      </w:r>
      <w:proofErr w:type="spellStart"/>
      <w:r w:rsidRPr="00F81329">
        <w:t>spokojnosť</w:t>
      </w:r>
      <w:proofErr w:type="spellEnd"/>
      <w:r w:rsidRPr="00F81329">
        <w:t xml:space="preserve"> (</w:t>
      </w:r>
      <w:proofErr w:type="spellStart"/>
      <w:r w:rsidRPr="00F81329">
        <w:t>oblasť</w:t>
      </w:r>
      <w:proofErr w:type="spellEnd"/>
      <w:r w:rsidRPr="00F81329">
        <w:t xml:space="preserve"> </w:t>
      </w:r>
      <w:proofErr w:type="spellStart"/>
      <w:r w:rsidRPr="00F81329">
        <w:t>vyžadujúca</w:t>
      </w:r>
      <w:proofErr w:type="spellEnd"/>
      <w:r w:rsidRPr="00F81329">
        <w:t xml:space="preserve"> </w:t>
      </w:r>
      <w:proofErr w:type="spellStart"/>
      <w:r w:rsidRPr="00F81329">
        <w:t>rozvoj</w:t>
      </w:r>
      <w:proofErr w:type="spellEnd"/>
      <w:r w:rsidRPr="00F81329">
        <w:t>)</w:t>
      </w:r>
    </w:p>
    <w:p w14:paraId="07AA99C5" w14:textId="77777777" w:rsidR="00F81329" w:rsidRPr="00F81329" w:rsidRDefault="00F81329" w:rsidP="00F81329">
      <w:pPr>
        <w:numPr>
          <w:ilvl w:val="0"/>
          <w:numId w:val="26"/>
        </w:numPr>
        <w:spacing w:after="0"/>
      </w:pPr>
      <w:r w:rsidRPr="00F81329">
        <w:rPr>
          <w:b/>
          <w:bCs/>
        </w:rPr>
        <w:t>= 0</w:t>
      </w:r>
      <w:r w:rsidRPr="00F81329">
        <w:t xml:space="preserve"> → </w:t>
      </w:r>
      <w:proofErr w:type="spellStart"/>
      <w:r w:rsidRPr="00F81329">
        <w:t>rovnováha</w:t>
      </w:r>
      <w:proofErr w:type="spellEnd"/>
    </w:p>
    <w:p w14:paraId="36D9E0A0" w14:textId="77777777" w:rsidR="00F81329" w:rsidRPr="00F81329" w:rsidRDefault="00F81329" w:rsidP="00F81329">
      <w:pPr>
        <w:numPr>
          <w:ilvl w:val="0"/>
          <w:numId w:val="26"/>
        </w:numPr>
        <w:spacing w:after="0"/>
      </w:pPr>
      <w:r w:rsidRPr="00F81329">
        <w:rPr>
          <w:b/>
          <w:bCs/>
        </w:rPr>
        <w:t>&gt; 0</w:t>
      </w:r>
      <w:r w:rsidRPr="00F81329">
        <w:t xml:space="preserve"> → </w:t>
      </w:r>
      <w:proofErr w:type="spellStart"/>
      <w:r w:rsidRPr="00F81329">
        <w:t>spokojnosť</w:t>
      </w:r>
      <w:proofErr w:type="spellEnd"/>
      <w:r w:rsidRPr="00F81329">
        <w:t xml:space="preserve"> </w:t>
      </w:r>
      <w:proofErr w:type="spellStart"/>
      <w:r w:rsidRPr="00F81329">
        <w:t>prevyšuje</w:t>
      </w:r>
      <w:proofErr w:type="spellEnd"/>
      <w:r w:rsidRPr="00F81329">
        <w:t xml:space="preserve"> </w:t>
      </w:r>
      <w:proofErr w:type="spellStart"/>
      <w:r w:rsidRPr="00F81329">
        <w:t>dôležitosť</w:t>
      </w:r>
      <w:proofErr w:type="spellEnd"/>
      <w:r w:rsidRPr="00F81329">
        <w:t xml:space="preserve"> (</w:t>
      </w:r>
      <w:proofErr w:type="spellStart"/>
      <w:r w:rsidRPr="00F81329">
        <w:t>možný</w:t>
      </w:r>
      <w:proofErr w:type="spellEnd"/>
      <w:r w:rsidRPr="00F81329">
        <w:t xml:space="preserve"> znak </w:t>
      </w:r>
      <w:proofErr w:type="spellStart"/>
      <w:r w:rsidRPr="00F81329">
        <w:t>nadmerného</w:t>
      </w:r>
      <w:proofErr w:type="spellEnd"/>
      <w:r w:rsidRPr="00F81329">
        <w:t xml:space="preserve"> </w:t>
      </w:r>
      <w:proofErr w:type="spellStart"/>
      <w:r w:rsidRPr="00F81329">
        <w:t>úsilia</w:t>
      </w:r>
      <w:proofErr w:type="spellEnd"/>
      <w:r w:rsidRPr="00F81329">
        <w:t>)</w:t>
      </w:r>
    </w:p>
    <w:p w14:paraId="5F8B2D98" w14:textId="77777777" w:rsidR="00F81329" w:rsidRPr="00F81329" w:rsidRDefault="00F81329" w:rsidP="00BA031F">
      <w:pPr>
        <w:spacing w:before="120" w:after="0"/>
        <w:rPr>
          <w:b/>
          <w:bCs/>
        </w:rPr>
      </w:pPr>
      <w:r w:rsidRPr="00F81329">
        <w:rPr>
          <w:b/>
          <w:bCs/>
        </w:rPr>
        <w:t xml:space="preserve">6) </w:t>
      </w:r>
      <w:proofErr w:type="spellStart"/>
      <w:r w:rsidRPr="00F81329">
        <w:rPr>
          <w:b/>
          <w:bCs/>
        </w:rPr>
        <w:t>Záverečné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meranie</w:t>
      </w:r>
      <w:proofErr w:type="spellEnd"/>
    </w:p>
    <w:p w14:paraId="79610764" w14:textId="77777777" w:rsidR="00F81329" w:rsidRPr="00F81329" w:rsidRDefault="00F81329" w:rsidP="00F81329">
      <w:pPr>
        <w:numPr>
          <w:ilvl w:val="0"/>
          <w:numId w:val="27"/>
        </w:numPr>
        <w:spacing w:after="0"/>
      </w:pPr>
      <w:proofErr w:type="spellStart"/>
      <w:r w:rsidRPr="00F81329">
        <w:t>Opakujte</w:t>
      </w:r>
      <w:proofErr w:type="spellEnd"/>
      <w:r w:rsidRPr="00F81329">
        <w:t xml:space="preserve"> oba </w:t>
      </w:r>
      <w:proofErr w:type="spellStart"/>
      <w:r w:rsidRPr="00F81329">
        <w:t>kroky</w:t>
      </w:r>
      <w:proofErr w:type="spellEnd"/>
      <w:r w:rsidRPr="00F81329">
        <w:t xml:space="preserve"> na </w:t>
      </w:r>
      <w:proofErr w:type="spellStart"/>
      <w:r w:rsidRPr="00F81329">
        <w:t>konci</w:t>
      </w:r>
      <w:proofErr w:type="spellEnd"/>
      <w:r w:rsidRPr="00F81329">
        <w:t xml:space="preserve"> </w:t>
      </w:r>
      <w:proofErr w:type="spellStart"/>
      <w:r w:rsidRPr="00F81329">
        <w:t>školského</w:t>
      </w:r>
      <w:proofErr w:type="spellEnd"/>
      <w:r w:rsidRPr="00F81329">
        <w:t xml:space="preserve"> </w:t>
      </w:r>
      <w:proofErr w:type="spellStart"/>
      <w:r w:rsidRPr="00F81329">
        <w:t>roka</w:t>
      </w:r>
      <w:proofErr w:type="spellEnd"/>
      <w:r w:rsidRPr="00F81329">
        <w:t>.</w:t>
      </w:r>
    </w:p>
    <w:p w14:paraId="1A658C1B" w14:textId="77777777" w:rsidR="00F81329" w:rsidRPr="00F81329" w:rsidRDefault="00F81329" w:rsidP="00F81329">
      <w:pPr>
        <w:numPr>
          <w:ilvl w:val="0"/>
          <w:numId w:val="27"/>
        </w:numPr>
        <w:spacing w:after="0"/>
      </w:pPr>
      <w:proofErr w:type="spellStart"/>
      <w:r w:rsidRPr="00F81329">
        <w:t>Pridajte</w:t>
      </w:r>
      <w:proofErr w:type="spellEnd"/>
      <w:r w:rsidRPr="00F81329">
        <w:t xml:space="preserve"> </w:t>
      </w:r>
      <w:proofErr w:type="spellStart"/>
      <w:r w:rsidRPr="00F81329">
        <w:t>údaje</w:t>
      </w:r>
      <w:proofErr w:type="spellEnd"/>
      <w:r w:rsidRPr="00F81329">
        <w:t xml:space="preserve"> do </w:t>
      </w:r>
      <w:proofErr w:type="spellStart"/>
      <w:r w:rsidRPr="00F81329">
        <w:t>časti</w:t>
      </w:r>
      <w:proofErr w:type="spellEnd"/>
      <w:r w:rsidRPr="00F81329">
        <w:t xml:space="preserve"> „Koniec“.</w:t>
      </w:r>
    </w:p>
    <w:p w14:paraId="44BC9630" w14:textId="77777777" w:rsidR="00F81329" w:rsidRPr="00F81329" w:rsidRDefault="00F81329" w:rsidP="00F81329">
      <w:pPr>
        <w:spacing w:after="0"/>
        <w:rPr>
          <w:b/>
          <w:bCs/>
        </w:rPr>
      </w:pPr>
      <w:r w:rsidRPr="00F81329">
        <w:rPr>
          <w:b/>
          <w:bCs/>
        </w:rPr>
        <w:lastRenderedPageBreak/>
        <w:t xml:space="preserve">7) </w:t>
      </w:r>
      <w:proofErr w:type="spellStart"/>
      <w:r w:rsidRPr="00F81329">
        <w:rPr>
          <w:b/>
          <w:bCs/>
        </w:rPr>
        <w:t>Analýza</w:t>
      </w:r>
      <w:proofErr w:type="spellEnd"/>
      <w:r w:rsidRPr="00F81329">
        <w:rPr>
          <w:b/>
          <w:bCs/>
        </w:rPr>
        <w:t xml:space="preserve"> a </w:t>
      </w:r>
      <w:proofErr w:type="spellStart"/>
      <w:r w:rsidRPr="00F81329">
        <w:rPr>
          <w:b/>
          <w:bCs/>
        </w:rPr>
        <w:t>opatrenia</w:t>
      </w:r>
      <w:proofErr w:type="spellEnd"/>
    </w:p>
    <w:p w14:paraId="11DA99FD" w14:textId="77777777" w:rsidR="00F81329" w:rsidRPr="00F81329" w:rsidRDefault="00F81329" w:rsidP="00F81329">
      <w:pPr>
        <w:numPr>
          <w:ilvl w:val="0"/>
          <w:numId w:val="28"/>
        </w:numPr>
        <w:spacing w:after="0"/>
      </w:pPr>
      <w:proofErr w:type="spellStart"/>
      <w:r w:rsidRPr="00F81329">
        <w:t>Skontrolujte</w:t>
      </w:r>
      <w:proofErr w:type="spellEnd"/>
      <w:r w:rsidRPr="00F81329">
        <w:t xml:space="preserve"> </w:t>
      </w:r>
      <w:proofErr w:type="spellStart"/>
      <w:r w:rsidRPr="00F81329">
        <w:rPr>
          <w:b/>
          <w:bCs/>
        </w:rPr>
        <w:t>Zmena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p.b</w:t>
      </w:r>
      <w:proofErr w:type="spellEnd"/>
      <w:r w:rsidRPr="00F81329">
        <w:rPr>
          <w:b/>
          <w:bCs/>
        </w:rPr>
        <w:t>. (SSI)</w:t>
      </w:r>
      <w:r w:rsidRPr="00F81329">
        <w:t xml:space="preserve"> a </w:t>
      </w:r>
      <w:proofErr w:type="spellStart"/>
      <w:r w:rsidRPr="00F81329">
        <w:rPr>
          <w:b/>
          <w:bCs/>
        </w:rPr>
        <w:t>Zmena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p.b</w:t>
      </w:r>
      <w:proofErr w:type="spellEnd"/>
      <w:r w:rsidRPr="00F81329">
        <w:rPr>
          <w:b/>
          <w:bCs/>
        </w:rPr>
        <w:t>. (</w:t>
      </w:r>
      <w:proofErr w:type="spellStart"/>
      <w:r w:rsidRPr="00F81329">
        <w:rPr>
          <w:b/>
          <w:bCs/>
        </w:rPr>
        <w:t>Medzera</w:t>
      </w:r>
      <w:proofErr w:type="spellEnd"/>
      <w:r w:rsidRPr="00F81329">
        <w:rPr>
          <w:b/>
          <w:bCs/>
        </w:rPr>
        <w:t xml:space="preserve"> – POMP)</w:t>
      </w:r>
      <w:r w:rsidRPr="00F81329">
        <w:t>:</w:t>
      </w:r>
    </w:p>
    <w:p w14:paraId="0A523DA1" w14:textId="77777777" w:rsidR="00F81329" w:rsidRPr="00F81329" w:rsidRDefault="00F81329" w:rsidP="00F81329">
      <w:pPr>
        <w:numPr>
          <w:ilvl w:val="1"/>
          <w:numId w:val="28"/>
        </w:numPr>
        <w:spacing w:after="0"/>
      </w:pPr>
      <w:r w:rsidRPr="00F81329">
        <w:rPr>
          <w:b/>
          <w:bCs/>
        </w:rPr>
        <w:t>&gt; 0</w:t>
      </w:r>
      <w:r w:rsidRPr="00F81329">
        <w:t xml:space="preserve"> → </w:t>
      </w:r>
      <w:proofErr w:type="spellStart"/>
      <w:r w:rsidRPr="00F81329">
        <w:t>zlepšenie</w:t>
      </w:r>
      <w:proofErr w:type="spellEnd"/>
    </w:p>
    <w:p w14:paraId="1012FE3E" w14:textId="77777777" w:rsidR="00F81329" w:rsidRPr="00F81329" w:rsidRDefault="00F81329" w:rsidP="00F81329">
      <w:pPr>
        <w:numPr>
          <w:ilvl w:val="1"/>
          <w:numId w:val="28"/>
        </w:numPr>
        <w:spacing w:after="0"/>
      </w:pPr>
      <w:r w:rsidRPr="00F81329">
        <w:rPr>
          <w:b/>
          <w:bCs/>
        </w:rPr>
        <w:t>&lt; 0</w:t>
      </w:r>
      <w:r w:rsidRPr="00F81329">
        <w:t xml:space="preserve"> → </w:t>
      </w:r>
      <w:proofErr w:type="spellStart"/>
      <w:r w:rsidRPr="00F81329">
        <w:t>zhoršenie</w:t>
      </w:r>
      <w:proofErr w:type="spellEnd"/>
    </w:p>
    <w:p w14:paraId="43B03F34" w14:textId="77777777" w:rsidR="00F81329" w:rsidRPr="00F81329" w:rsidRDefault="00F81329" w:rsidP="00F81329">
      <w:pPr>
        <w:numPr>
          <w:ilvl w:val="0"/>
          <w:numId w:val="28"/>
        </w:numPr>
        <w:spacing w:after="0"/>
      </w:pPr>
      <w:proofErr w:type="spellStart"/>
      <w:r w:rsidRPr="00F81329">
        <w:t>Zamerajte</w:t>
      </w:r>
      <w:proofErr w:type="spellEnd"/>
      <w:r w:rsidRPr="00F81329">
        <w:t xml:space="preserve"> </w:t>
      </w:r>
      <w:proofErr w:type="spellStart"/>
      <w:r w:rsidRPr="00F81329">
        <w:t>sa</w:t>
      </w:r>
      <w:proofErr w:type="spellEnd"/>
      <w:r w:rsidRPr="00F81329">
        <w:t xml:space="preserve"> na:</w:t>
      </w:r>
    </w:p>
    <w:p w14:paraId="5B758DF3" w14:textId="77777777" w:rsidR="00F81329" w:rsidRPr="00F81329" w:rsidRDefault="00F81329" w:rsidP="00F81329">
      <w:pPr>
        <w:numPr>
          <w:ilvl w:val="1"/>
          <w:numId w:val="28"/>
        </w:numPr>
        <w:spacing w:after="0"/>
      </w:pPr>
      <w:proofErr w:type="spellStart"/>
      <w:r w:rsidRPr="00F81329">
        <w:t>nízke</w:t>
      </w:r>
      <w:proofErr w:type="spellEnd"/>
      <w:r w:rsidRPr="00F81329">
        <w:t xml:space="preserve"> </w:t>
      </w:r>
      <w:proofErr w:type="spellStart"/>
      <w:r w:rsidRPr="00F81329">
        <w:t>hodnoty</w:t>
      </w:r>
      <w:proofErr w:type="spellEnd"/>
      <w:r w:rsidRPr="00F81329">
        <w:t xml:space="preserve"> SSI,</w:t>
      </w:r>
    </w:p>
    <w:p w14:paraId="47D377DF" w14:textId="77777777" w:rsidR="00F81329" w:rsidRPr="00F81329" w:rsidRDefault="00F81329" w:rsidP="00F81329">
      <w:pPr>
        <w:numPr>
          <w:ilvl w:val="1"/>
          <w:numId w:val="28"/>
        </w:numPr>
        <w:spacing w:after="0"/>
      </w:pPr>
      <w:proofErr w:type="spellStart"/>
      <w:r w:rsidRPr="00F81329">
        <w:t>negatívne</w:t>
      </w:r>
      <w:proofErr w:type="spellEnd"/>
      <w:r w:rsidRPr="00F81329">
        <w:t xml:space="preserve"> POMP (</w:t>
      </w:r>
      <w:r w:rsidRPr="00F81329">
        <w:rPr>
          <w:b/>
          <w:bCs/>
        </w:rPr>
        <w:t>&lt; 0</w:t>
      </w:r>
      <w:r w:rsidRPr="00F81329">
        <w:t xml:space="preserve"> – </w:t>
      </w:r>
      <w:proofErr w:type="spellStart"/>
      <w:r w:rsidRPr="00F81329">
        <w:t>deficit</w:t>
      </w:r>
      <w:proofErr w:type="spellEnd"/>
      <w:r w:rsidRPr="00F81329">
        <w:t>),</w:t>
      </w:r>
    </w:p>
    <w:p w14:paraId="16AA82A0" w14:textId="77777777" w:rsidR="00F81329" w:rsidRPr="00F81329" w:rsidRDefault="00F81329" w:rsidP="00F81329">
      <w:pPr>
        <w:numPr>
          <w:ilvl w:val="1"/>
          <w:numId w:val="28"/>
        </w:numPr>
        <w:spacing w:after="0"/>
      </w:pPr>
      <w:proofErr w:type="spellStart"/>
      <w:r w:rsidRPr="00F81329">
        <w:t>veľmi</w:t>
      </w:r>
      <w:proofErr w:type="spellEnd"/>
      <w:r w:rsidRPr="00F81329">
        <w:t xml:space="preserve"> </w:t>
      </w:r>
      <w:proofErr w:type="spellStart"/>
      <w:r w:rsidRPr="00F81329">
        <w:t>vysoké</w:t>
      </w:r>
      <w:proofErr w:type="spellEnd"/>
      <w:r w:rsidRPr="00F81329">
        <w:t xml:space="preserve"> </w:t>
      </w:r>
      <w:proofErr w:type="spellStart"/>
      <w:r w:rsidRPr="00F81329">
        <w:t>pozitívne</w:t>
      </w:r>
      <w:proofErr w:type="spellEnd"/>
      <w:r w:rsidRPr="00F81329">
        <w:t xml:space="preserve"> POMP (</w:t>
      </w:r>
      <w:r w:rsidRPr="00F81329">
        <w:rPr>
          <w:b/>
          <w:bCs/>
        </w:rPr>
        <w:t>&gt; 0</w:t>
      </w:r>
      <w:r w:rsidRPr="00F81329">
        <w:t xml:space="preserve"> – </w:t>
      </w:r>
      <w:proofErr w:type="spellStart"/>
      <w:r w:rsidRPr="00F81329">
        <w:t>nadmerná</w:t>
      </w:r>
      <w:proofErr w:type="spellEnd"/>
      <w:r w:rsidRPr="00F81329">
        <w:t xml:space="preserve"> </w:t>
      </w:r>
      <w:proofErr w:type="spellStart"/>
      <w:r w:rsidRPr="00F81329">
        <w:t>investícia</w:t>
      </w:r>
      <w:proofErr w:type="spellEnd"/>
      <w:r w:rsidRPr="00F81329">
        <w:t>).</w:t>
      </w:r>
    </w:p>
    <w:p w14:paraId="2661FB15" w14:textId="77777777" w:rsidR="00F81329" w:rsidRPr="00F81329" w:rsidRDefault="00F81329" w:rsidP="00BA031F">
      <w:pPr>
        <w:spacing w:before="120" w:after="0"/>
        <w:rPr>
          <w:b/>
          <w:bCs/>
        </w:rPr>
      </w:pPr>
      <w:r w:rsidRPr="00F81329">
        <w:rPr>
          <w:b/>
          <w:bCs/>
        </w:rPr>
        <w:t xml:space="preserve">8) </w:t>
      </w:r>
      <w:proofErr w:type="spellStart"/>
      <w:r w:rsidRPr="00F81329">
        <w:rPr>
          <w:b/>
          <w:bCs/>
        </w:rPr>
        <w:t>Dobrá</w:t>
      </w:r>
      <w:proofErr w:type="spellEnd"/>
      <w:r w:rsidRPr="00F81329">
        <w:rPr>
          <w:b/>
          <w:bCs/>
        </w:rPr>
        <w:t xml:space="preserve"> </w:t>
      </w:r>
      <w:proofErr w:type="spellStart"/>
      <w:r w:rsidRPr="00F81329">
        <w:rPr>
          <w:b/>
          <w:bCs/>
        </w:rPr>
        <w:t>prax</w:t>
      </w:r>
      <w:proofErr w:type="spellEnd"/>
    </w:p>
    <w:p w14:paraId="17EA2EFF" w14:textId="77777777" w:rsidR="00F81329" w:rsidRPr="00F81329" w:rsidRDefault="00F81329" w:rsidP="00F81329">
      <w:pPr>
        <w:numPr>
          <w:ilvl w:val="0"/>
          <w:numId w:val="29"/>
        </w:numPr>
        <w:spacing w:after="0"/>
      </w:pPr>
      <w:proofErr w:type="spellStart"/>
      <w:r w:rsidRPr="00F81329">
        <w:t>Nezbierajte</w:t>
      </w:r>
      <w:proofErr w:type="spellEnd"/>
      <w:r w:rsidRPr="00F81329">
        <w:t xml:space="preserve"> </w:t>
      </w:r>
      <w:proofErr w:type="spellStart"/>
      <w:r w:rsidRPr="00F81329">
        <w:t>osobné</w:t>
      </w:r>
      <w:proofErr w:type="spellEnd"/>
      <w:r w:rsidRPr="00F81329">
        <w:t xml:space="preserve"> </w:t>
      </w:r>
      <w:proofErr w:type="spellStart"/>
      <w:r w:rsidRPr="00F81329">
        <w:t>údaje</w:t>
      </w:r>
      <w:proofErr w:type="spellEnd"/>
      <w:r w:rsidRPr="00F81329">
        <w:t>.</w:t>
      </w:r>
    </w:p>
    <w:p w14:paraId="0E19A25D" w14:textId="77777777" w:rsidR="00F81329" w:rsidRPr="00F81329" w:rsidRDefault="00F81329" w:rsidP="00F81329">
      <w:pPr>
        <w:numPr>
          <w:ilvl w:val="0"/>
          <w:numId w:val="29"/>
        </w:numPr>
        <w:spacing w:after="0"/>
      </w:pPr>
      <w:proofErr w:type="spellStart"/>
      <w:r w:rsidRPr="00F81329">
        <w:t>Ukladajte</w:t>
      </w:r>
      <w:proofErr w:type="spellEnd"/>
      <w:r w:rsidRPr="00F81329">
        <w:t xml:space="preserve"> </w:t>
      </w:r>
      <w:proofErr w:type="spellStart"/>
      <w:r w:rsidRPr="00F81329">
        <w:t>súbory</w:t>
      </w:r>
      <w:proofErr w:type="spellEnd"/>
      <w:r w:rsidRPr="00F81329">
        <w:t xml:space="preserve"> </w:t>
      </w:r>
      <w:proofErr w:type="spellStart"/>
      <w:r w:rsidRPr="00F81329">
        <w:t>bezpečne</w:t>
      </w:r>
      <w:proofErr w:type="spellEnd"/>
      <w:r w:rsidRPr="00F81329">
        <w:t>.</w:t>
      </w:r>
    </w:p>
    <w:p w14:paraId="08768655" w14:textId="77777777" w:rsidR="00F81329" w:rsidRPr="00F81329" w:rsidRDefault="00F81329" w:rsidP="00F81329">
      <w:pPr>
        <w:numPr>
          <w:ilvl w:val="0"/>
          <w:numId w:val="29"/>
        </w:numPr>
        <w:spacing w:after="0"/>
      </w:pPr>
      <w:proofErr w:type="spellStart"/>
      <w:r w:rsidRPr="00F81329">
        <w:t>Zaznamenajte</w:t>
      </w:r>
      <w:proofErr w:type="spellEnd"/>
      <w:r w:rsidRPr="00F81329">
        <w:t xml:space="preserve"> </w:t>
      </w:r>
      <w:proofErr w:type="spellStart"/>
      <w:r w:rsidRPr="00F81329">
        <w:t>dátumy</w:t>
      </w:r>
      <w:proofErr w:type="spellEnd"/>
      <w:r w:rsidRPr="00F81329">
        <w:t xml:space="preserve"> </w:t>
      </w:r>
      <w:proofErr w:type="spellStart"/>
      <w:r w:rsidRPr="00F81329">
        <w:t>meraní</w:t>
      </w:r>
      <w:proofErr w:type="spellEnd"/>
      <w:r w:rsidRPr="00F81329">
        <w:t xml:space="preserve"> na </w:t>
      </w:r>
      <w:proofErr w:type="spellStart"/>
      <w:r w:rsidRPr="00F81329">
        <w:t>jednoznačné</w:t>
      </w:r>
      <w:proofErr w:type="spellEnd"/>
      <w:r w:rsidRPr="00F81329">
        <w:t xml:space="preserve"> </w:t>
      </w:r>
      <w:proofErr w:type="spellStart"/>
      <w:r w:rsidRPr="00F81329">
        <w:t>porovnanie</w:t>
      </w:r>
      <w:proofErr w:type="spellEnd"/>
      <w:r w:rsidRPr="00F81329">
        <w:t>.</w:t>
      </w:r>
    </w:p>
    <w:p w14:paraId="460C155D" w14:textId="77777777" w:rsidR="00F81329" w:rsidRPr="00F81329" w:rsidRDefault="00F81329" w:rsidP="00BA031F">
      <w:pPr>
        <w:spacing w:before="120" w:after="0"/>
      </w:pPr>
      <w:proofErr w:type="spellStart"/>
      <w:r w:rsidRPr="00F81329">
        <w:rPr>
          <w:b/>
          <w:bCs/>
        </w:rPr>
        <w:t>Slovník</w:t>
      </w:r>
      <w:proofErr w:type="spellEnd"/>
      <w:r w:rsidRPr="00F81329">
        <w:t>:</w:t>
      </w:r>
    </w:p>
    <w:p w14:paraId="589C6A40" w14:textId="77777777" w:rsidR="00F81329" w:rsidRPr="00F81329" w:rsidRDefault="00F81329" w:rsidP="00F81329">
      <w:pPr>
        <w:numPr>
          <w:ilvl w:val="0"/>
          <w:numId w:val="30"/>
        </w:numPr>
        <w:spacing w:after="0"/>
      </w:pPr>
      <w:r w:rsidRPr="00F81329">
        <w:rPr>
          <w:b/>
          <w:bCs/>
        </w:rPr>
        <w:t>SSI</w:t>
      </w:r>
      <w:r w:rsidRPr="00F81329">
        <w:t xml:space="preserve"> – Index </w:t>
      </w:r>
      <w:proofErr w:type="spellStart"/>
      <w:r w:rsidRPr="00F81329">
        <w:t>spokojnosti</w:t>
      </w:r>
      <w:proofErr w:type="spellEnd"/>
      <w:r w:rsidRPr="00F81329">
        <w:t xml:space="preserve"> </w:t>
      </w:r>
      <w:proofErr w:type="spellStart"/>
      <w:r w:rsidRPr="00F81329">
        <w:t>žiakov</w:t>
      </w:r>
      <w:proofErr w:type="spellEnd"/>
      <w:r w:rsidRPr="00F81329">
        <w:t>.</w:t>
      </w:r>
    </w:p>
    <w:p w14:paraId="03A4EE73" w14:textId="77777777" w:rsidR="00F81329" w:rsidRPr="00F81329" w:rsidRDefault="00F81329" w:rsidP="00F81329">
      <w:pPr>
        <w:numPr>
          <w:ilvl w:val="0"/>
          <w:numId w:val="30"/>
        </w:numPr>
        <w:spacing w:after="0"/>
        <w:rPr>
          <w:lang w:val="en-US"/>
        </w:rPr>
      </w:pPr>
      <w:r w:rsidRPr="00F81329">
        <w:rPr>
          <w:b/>
          <w:bCs/>
          <w:lang w:val="en-US"/>
        </w:rPr>
        <w:t>POMP</w:t>
      </w:r>
      <w:r w:rsidRPr="00F81329">
        <w:rPr>
          <w:lang w:val="en-US"/>
        </w:rPr>
        <w:t xml:space="preserve"> – Percent of Maximum Possible (</w:t>
      </w:r>
      <w:proofErr w:type="spellStart"/>
      <w:r w:rsidRPr="00F81329">
        <w:rPr>
          <w:lang w:val="en-US"/>
        </w:rPr>
        <w:t>konverzia</w:t>
      </w:r>
      <w:proofErr w:type="spellEnd"/>
      <w:r w:rsidRPr="00F81329">
        <w:rPr>
          <w:lang w:val="en-US"/>
        </w:rPr>
        <w:t xml:space="preserve"> 1–7 </w:t>
      </w:r>
      <w:proofErr w:type="spellStart"/>
      <w:r w:rsidRPr="00F81329">
        <w:rPr>
          <w:lang w:val="en-US"/>
        </w:rPr>
        <w:t>na</w:t>
      </w:r>
      <w:proofErr w:type="spellEnd"/>
      <w:r w:rsidRPr="00F81329">
        <w:rPr>
          <w:lang w:val="en-US"/>
        </w:rPr>
        <w:t xml:space="preserve"> 0–100%).</w:t>
      </w:r>
    </w:p>
    <w:p w14:paraId="695C530B" w14:textId="77777777" w:rsidR="00F81329" w:rsidRPr="00F81329" w:rsidRDefault="00F81329" w:rsidP="00F81329">
      <w:pPr>
        <w:numPr>
          <w:ilvl w:val="0"/>
          <w:numId w:val="30"/>
        </w:numPr>
        <w:spacing w:after="0"/>
      </w:pPr>
      <w:proofErr w:type="spellStart"/>
      <w:r w:rsidRPr="00F81329">
        <w:rPr>
          <w:b/>
          <w:bCs/>
        </w:rPr>
        <w:t>p.b</w:t>
      </w:r>
      <w:proofErr w:type="spellEnd"/>
      <w:r w:rsidRPr="00F81329">
        <w:rPr>
          <w:b/>
          <w:bCs/>
        </w:rPr>
        <w:t>.</w:t>
      </w:r>
      <w:r w:rsidRPr="00F81329">
        <w:t xml:space="preserve"> – </w:t>
      </w:r>
      <w:proofErr w:type="spellStart"/>
      <w:r w:rsidRPr="00F81329">
        <w:t>percentuálny</w:t>
      </w:r>
      <w:proofErr w:type="spellEnd"/>
      <w:r w:rsidRPr="00F81329">
        <w:t xml:space="preserve"> bod.</w:t>
      </w:r>
    </w:p>
    <w:p w14:paraId="58C5B4B9" w14:textId="77777777" w:rsidR="00F81329" w:rsidRPr="00F81329" w:rsidRDefault="00F81329" w:rsidP="000E582C">
      <w:pPr>
        <w:spacing w:after="0"/>
        <w:rPr>
          <w:lang w:val="ru-RU"/>
        </w:rPr>
      </w:pPr>
    </w:p>
    <w:sectPr w:rsidR="00F81329" w:rsidRPr="00F81329" w:rsidSect="000E582C">
      <w:pgSz w:w="11906" w:h="16838"/>
      <w:pgMar w:top="851" w:right="566" w:bottom="141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B0B3F"/>
    <w:multiLevelType w:val="multilevel"/>
    <w:tmpl w:val="3F04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503CC"/>
    <w:multiLevelType w:val="multilevel"/>
    <w:tmpl w:val="A84C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62B0D"/>
    <w:multiLevelType w:val="multilevel"/>
    <w:tmpl w:val="7604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7166F"/>
    <w:multiLevelType w:val="multilevel"/>
    <w:tmpl w:val="8648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1301BE"/>
    <w:multiLevelType w:val="multilevel"/>
    <w:tmpl w:val="10446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1A566C"/>
    <w:multiLevelType w:val="multilevel"/>
    <w:tmpl w:val="7A5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AD5A84"/>
    <w:multiLevelType w:val="multilevel"/>
    <w:tmpl w:val="653E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F63F8C"/>
    <w:multiLevelType w:val="multilevel"/>
    <w:tmpl w:val="21ECB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74B3A"/>
    <w:multiLevelType w:val="multilevel"/>
    <w:tmpl w:val="650E3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8E69BF"/>
    <w:multiLevelType w:val="multilevel"/>
    <w:tmpl w:val="29C8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C721FC"/>
    <w:multiLevelType w:val="multilevel"/>
    <w:tmpl w:val="1120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6239C9"/>
    <w:multiLevelType w:val="multilevel"/>
    <w:tmpl w:val="4D1E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9A3B95"/>
    <w:multiLevelType w:val="multilevel"/>
    <w:tmpl w:val="EA1A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941CB1"/>
    <w:multiLevelType w:val="multilevel"/>
    <w:tmpl w:val="DA32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E10B58"/>
    <w:multiLevelType w:val="multilevel"/>
    <w:tmpl w:val="D3C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D51E50"/>
    <w:multiLevelType w:val="multilevel"/>
    <w:tmpl w:val="42AA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DA6901"/>
    <w:multiLevelType w:val="multilevel"/>
    <w:tmpl w:val="4952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FF7DC3"/>
    <w:multiLevelType w:val="multilevel"/>
    <w:tmpl w:val="DBA8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060979"/>
    <w:multiLevelType w:val="multilevel"/>
    <w:tmpl w:val="137A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EC6658"/>
    <w:multiLevelType w:val="multilevel"/>
    <w:tmpl w:val="0E22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C71BEE"/>
    <w:multiLevelType w:val="multilevel"/>
    <w:tmpl w:val="5C441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BF18B4"/>
    <w:multiLevelType w:val="multilevel"/>
    <w:tmpl w:val="F09E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18"/>
  </w:num>
  <w:num w:numId="3" w16cid:durableId="941645532">
    <w:abstractNumId w:val="26"/>
  </w:num>
  <w:num w:numId="4" w16cid:durableId="1661998535">
    <w:abstractNumId w:val="19"/>
  </w:num>
  <w:num w:numId="5" w16cid:durableId="1535651592">
    <w:abstractNumId w:val="6"/>
  </w:num>
  <w:num w:numId="6" w16cid:durableId="456417647">
    <w:abstractNumId w:val="23"/>
  </w:num>
  <w:num w:numId="7" w16cid:durableId="1080908006">
    <w:abstractNumId w:val="11"/>
  </w:num>
  <w:num w:numId="8" w16cid:durableId="939603921">
    <w:abstractNumId w:val="12"/>
  </w:num>
  <w:num w:numId="9" w16cid:durableId="627202166">
    <w:abstractNumId w:val="27"/>
  </w:num>
  <w:num w:numId="10" w16cid:durableId="148177138">
    <w:abstractNumId w:val="20"/>
  </w:num>
  <w:num w:numId="11" w16cid:durableId="1674382970">
    <w:abstractNumId w:val="29"/>
  </w:num>
  <w:num w:numId="12" w16cid:durableId="308556400">
    <w:abstractNumId w:val="4"/>
  </w:num>
  <w:num w:numId="13" w16cid:durableId="1768043011">
    <w:abstractNumId w:val="9"/>
  </w:num>
  <w:num w:numId="14" w16cid:durableId="501161183">
    <w:abstractNumId w:val="17"/>
  </w:num>
  <w:num w:numId="15" w16cid:durableId="131559025">
    <w:abstractNumId w:val="14"/>
  </w:num>
  <w:num w:numId="16" w16cid:durableId="1519806698">
    <w:abstractNumId w:val="8"/>
  </w:num>
  <w:num w:numId="17" w16cid:durableId="315455392">
    <w:abstractNumId w:val="5"/>
  </w:num>
  <w:num w:numId="18" w16cid:durableId="863978812">
    <w:abstractNumId w:val="24"/>
  </w:num>
  <w:num w:numId="19" w16cid:durableId="1137265408">
    <w:abstractNumId w:val="13"/>
  </w:num>
  <w:num w:numId="20" w16cid:durableId="1207525886">
    <w:abstractNumId w:val="16"/>
  </w:num>
  <w:num w:numId="21" w16cid:durableId="1046830266">
    <w:abstractNumId w:val="7"/>
  </w:num>
  <w:num w:numId="22" w16cid:durableId="1248423470">
    <w:abstractNumId w:val="3"/>
  </w:num>
  <w:num w:numId="23" w16cid:durableId="548499195">
    <w:abstractNumId w:val="10"/>
  </w:num>
  <w:num w:numId="24" w16cid:durableId="1358234690">
    <w:abstractNumId w:val="21"/>
  </w:num>
  <w:num w:numId="25" w16cid:durableId="1656453527">
    <w:abstractNumId w:val="28"/>
  </w:num>
  <w:num w:numId="26" w16cid:durableId="821240085">
    <w:abstractNumId w:val="25"/>
  </w:num>
  <w:num w:numId="27" w16cid:durableId="847596661">
    <w:abstractNumId w:val="15"/>
  </w:num>
  <w:num w:numId="28" w16cid:durableId="2003124301">
    <w:abstractNumId w:val="22"/>
  </w:num>
  <w:num w:numId="29" w16cid:durableId="220213861">
    <w:abstractNumId w:val="2"/>
  </w:num>
  <w:num w:numId="30" w16cid:durableId="33895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0E582C"/>
    <w:rsid w:val="001C094D"/>
    <w:rsid w:val="009970D3"/>
    <w:rsid w:val="009E0F80"/>
    <w:rsid w:val="00BA031F"/>
    <w:rsid w:val="00CD50F2"/>
    <w:rsid w:val="00F8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279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5</cp:revision>
  <dcterms:created xsi:type="dcterms:W3CDTF">2025-08-13T10:51:00Z</dcterms:created>
  <dcterms:modified xsi:type="dcterms:W3CDTF">2025-08-19T09:49:00Z</dcterms:modified>
</cp:coreProperties>
</file>